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77" w:rsidRPr="00C11367" w:rsidRDefault="00015D77" w:rsidP="00015D77">
      <w:pPr>
        <w:keepNext/>
        <w:keepLines/>
        <w:spacing w:before="200"/>
        <w:outlineLvl w:val="1"/>
        <w:rPr>
          <w:rFonts w:ascii="Gill Sans MT" w:eastAsia="Times New Roman" w:hAnsi="Gill Sans MT" w:cs="Times New Roman"/>
          <w:caps/>
          <w:color w:val="002F6C"/>
          <w:sz w:val="24"/>
          <w:szCs w:val="24"/>
        </w:rPr>
      </w:pPr>
      <w:bookmarkStart w:id="0" w:name="_Toc463820235"/>
      <w:r w:rsidRPr="00C11367">
        <w:rPr>
          <w:rFonts w:ascii="Gill Sans MT" w:eastAsia="MS Mincho" w:hAnsi="Gill Sans MT" w:cs="Times New Roman"/>
          <w:caps/>
          <w:color w:val="BA0C2F"/>
          <w:sz w:val="28"/>
          <w:szCs w:val="26"/>
        </w:rPr>
        <w:t xml:space="preserve">Annex </w:t>
      </w:r>
      <w:bookmarkEnd w:id="0"/>
      <w:r w:rsidR="00ED3A8E">
        <w:rPr>
          <w:rFonts w:ascii="Gill Sans MT" w:eastAsia="MS Mincho" w:hAnsi="Gill Sans MT" w:cs="Times New Roman"/>
          <w:caps/>
          <w:color w:val="BA0C2F"/>
          <w:sz w:val="28"/>
          <w:szCs w:val="26"/>
        </w:rPr>
        <w:t>3</w:t>
      </w:r>
      <w:r>
        <w:rPr>
          <w:rFonts w:ascii="Gill Sans MT" w:eastAsia="MS Mincho" w:hAnsi="Gill Sans MT" w:cs="Times New Roman"/>
          <w:caps/>
          <w:color w:val="BA0C2F"/>
          <w:sz w:val="28"/>
          <w:szCs w:val="26"/>
        </w:rPr>
        <w:t>:</w:t>
      </w:r>
      <w:bookmarkStart w:id="1" w:name="_Toc463820236"/>
      <w:r>
        <w:rPr>
          <w:rFonts w:ascii="Gill Sans MT" w:eastAsia="MS Mincho" w:hAnsi="Gill Sans MT" w:cs="Times New Roman"/>
          <w:caps/>
          <w:color w:val="BA0C2F"/>
          <w:sz w:val="28"/>
          <w:szCs w:val="26"/>
        </w:rPr>
        <w:t xml:space="preserve"> </w:t>
      </w:r>
      <w:r w:rsidRPr="00FF4CF2">
        <w:rPr>
          <w:rFonts w:ascii="Gill Sans MT" w:eastAsia="MS Mincho" w:hAnsi="Gill Sans MT" w:cs="Times New Roman"/>
          <w:caps/>
          <w:color w:val="BA0C2F"/>
          <w:sz w:val="28"/>
          <w:szCs w:val="26"/>
        </w:rPr>
        <w:t>Approach to Resolution of Water Quality Contamination</w:t>
      </w:r>
      <w:bookmarkEnd w:id="1"/>
    </w:p>
    <w:p w:rsidR="00015D77" w:rsidRPr="00C11367" w:rsidRDefault="00015D77" w:rsidP="00015D77">
      <w:pPr>
        <w:widowControl w:val="0"/>
        <w:autoSpaceDE w:val="0"/>
        <w:autoSpaceDN w:val="0"/>
        <w:adjustRightInd w:val="0"/>
        <w:spacing w:after="120" w:line="240" w:lineRule="auto"/>
        <w:ind w:right="389"/>
        <w:rPr>
          <w:rFonts w:ascii="Gill Sans MT" w:eastAsia="Calibri" w:hAnsi="Gill Sans MT" w:cs="Times New Roman"/>
          <w:szCs w:val="24"/>
        </w:rPr>
      </w:pPr>
      <w:r w:rsidRPr="00C11367">
        <w:rPr>
          <w:rFonts w:ascii="Gill Sans MT" w:eastAsia="Calibri" w:hAnsi="Gill Sans MT" w:cs="Times New Roman"/>
          <w:szCs w:val="24"/>
        </w:rPr>
        <w:t>The selection of the corrective measures to implement when the water quality guidance levels are exceeded depends on a variety of factors, most of which depend on potentially unique site characteristics</w:t>
      </w:r>
      <w:r w:rsidR="00217BC4">
        <w:rPr>
          <w:rFonts w:ascii="Gill Sans MT" w:eastAsia="Calibri" w:hAnsi="Gill Sans MT" w:cs="Times New Roman"/>
          <w:szCs w:val="24"/>
        </w:rPr>
        <w:t xml:space="preserve"> and local context</w:t>
      </w:r>
      <w:r w:rsidRPr="00C11367">
        <w:rPr>
          <w:rFonts w:ascii="Gill Sans MT" w:eastAsia="Calibri" w:hAnsi="Gill Sans MT" w:cs="Times New Roman"/>
          <w:szCs w:val="24"/>
        </w:rPr>
        <w:t>.  The two most important issues to consider prior to implementing a corrective response are:</w:t>
      </w:r>
    </w:p>
    <w:p w:rsidR="00015D77" w:rsidRPr="00C11367" w:rsidRDefault="00015D77" w:rsidP="00015D77">
      <w:pPr>
        <w:keepNext/>
        <w:keepLines/>
        <w:widowControl w:val="0"/>
        <w:numPr>
          <w:ilvl w:val="0"/>
          <w:numId w:val="2"/>
        </w:numPr>
        <w:autoSpaceDE w:val="0"/>
        <w:autoSpaceDN w:val="0"/>
        <w:adjustRightInd w:val="0"/>
        <w:spacing w:after="120" w:line="240" w:lineRule="auto"/>
        <w:ind w:right="389"/>
        <w:contextualSpacing/>
        <w:rPr>
          <w:rFonts w:ascii="Gill Sans MT" w:eastAsia="Calibri" w:hAnsi="Gill Sans MT" w:cs="Times New Roman"/>
          <w:szCs w:val="20"/>
        </w:rPr>
      </w:pPr>
      <w:r w:rsidRPr="00C11367">
        <w:rPr>
          <w:rFonts w:ascii="Gill Sans MT" w:eastAsia="Calibri" w:hAnsi="Gill Sans MT" w:cs="Times New Roman"/>
          <w:szCs w:val="20"/>
        </w:rPr>
        <w:t>Does the exceedance present an immediate health risk to consumers?</w:t>
      </w:r>
    </w:p>
    <w:p w:rsidR="00015D77" w:rsidRPr="00C11367" w:rsidRDefault="00015D77" w:rsidP="00015D77">
      <w:pPr>
        <w:keepNext/>
        <w:keepLines/>
        <w:widowControl w:val="0"/>
        <w:numPr>
          <w:ilvl w:val="0"/>
          <w:numId w:val="2"/>
        </w:numPr>
        <w:autoSpaceDE w:val="0"/>
        <w:autoSpaceDN w:val="0"/>
        <w:adjustRightInd w:val="0"/>
        <w:spacing w:after="120" w:line="240" w:lineRule="auto"/>
        <w:ind w:right="389"/>
        <w:contextualSpacing/>
        <w:rPr>
          <w:rFonts w:ascii="Gill Sans MT" w:eastAsia="Calibri" w:hAnsi="Gill Sans MT" w:cs="Times New Roman"/>
          <w:szCs w:val="20"/>
        </w:rPr>
      </w:pPr>
      <w:r w:rsidRPr="00C11367">
        <w:rPr>
          <w:rFonts w:ascii="Gill Sans MT" w:eastAsia="Calibri" w:hAnsi="Gill Sans MT" w:cs="Times New Roman"/>
          <w:szCs w:val="20"/>
        </w:rPr>
        <w:t>Are there alternative water sources which are accessible and safe?</w:t>
      </w:r>
    </w:p>
    <w:p w:rsidR="00E85AFE" w:rsidRDefault="00E85AFE" w:rsidP="00015D77">
      <w:pPr>
        <w:widowControl w:val="0"/>
        <w:autoSpaceDE w:val="0"/>
        <w:autoSpaceDN w:val="0"/>
        <w:adjustRightInd w:val="0"/>
        <w:spacing w:after="120" w:line="240" w:lineRule="auto"/>
        <w:ind w:right="389"/>
        <w:rPr>
          <w:rFonts w:ascii="Gill Sans MT" w:eastAsia="Calibri" w:hAnsi="Gill Sans MT" w:cs="Times New Roman"/>
          <w:szCs w:val="24"/>
        </w:rPr>
      </w:pPr>
    </w:p>
    <w:p w:rsidR="00015D77" w:rsidRPr="00C11367" w:rsidRDefault="00015D77" w:rsidP="00015D77">
      <w:pPr>
        <w:widowControl w:val="0"/>
        <w:autoSpaceDE w:val="0"/>
        <w:autoSpaceDN w:val="0"/>
        <w:adjustRightInd w:val="0"/>
        <w:spacing w:after="120" w:line="240" w:lineRule="auto"/>
        <w:ind w:right="389"/>
        <w:rPr>
          <w:rFonts w:ascii="Gill Sans MT" w:eastAsia="Calibri" w:hAnsi="Gill Sans MT" w:cs="Times New Roman"/>
          <w:szCs w:val="24"/>
        </w:rPr>
      </w:pPr>
      <w:r w:rsidRPr="00C11367">
        <w:rPr>
          <w:rFonts w:ascii="Gill Sans MT" w:eastAsia="Calibri" w:hAnsi="Gill Sans MT" w:cs="Times New Roman"/>
          <w:szCs w:val="24"/>
        </w:rPr>
        <w:t xml:space="preserve">If there is no immediate danger to the life and health of the beneficiaries, then additional information should be collected into order to select the proper corrective measures.  </w:t>
      </w:r>
    </w:p>
    <w:p w:rsidR="00015D77" w:rsidRPr="00C11367" w:rsidRDefault="00015D77" w:rsidP="00015D77">
      <w:pPr>
        <w:widowControl w:val="0"/>
        <w:autoSpaceDE w:val="0"/>
        <w:autoSpaceDN w:val="0"/>
        <w:adjustRightInd w:val="0"/>
        <w:spacing w:after="120" w:line="240" w:lineRule="auto"/>
        <w:ind w:right="389"/>
        <w:rPr>
          <w:rFonts w:ascii="Gill Sans MT" w:eastAsia="Calibri" w:hAnsi="Gill Sans MT" w:cs="Times New Roman"/>
          <w:szCs w:val="24"/>
        </w:rPr>
      </w:pPr>
      <w:r w:rsidRPr="00C11367">
        <w:rPr>
          <w:rFonts w:ascii="Gill Sans MT" w:eastAsia="Calibri" w:hAnsi="Gill Sans MT" w:cs="Times New Roman"/>
          <w:szCs w:val="24"/>
        </w:rPr>
        <w:t>In all cases, the implementing partner should notify and consult with relevant USAID MEO, REA, BEO</w:t>
      </w:r>
      <w:r w:rsidR="00217BC4">
        <w:rPr>
          <w:rFonts w:ascii="Gill Sans MT" w:eastAsia="Calibri" w:hAnsi="Gill Sans MT" w:cs="Times New Roman"/>
          <w:szCs w:val="24"/>
        </w:rPr>
        <w:t>, and relevant local authorities</w:t>
      </w:r>
      <w:r w:rsidRPr="00C11367">
        <w:rPr>
          <w:rFonts w:ascii="Gill Sans MT" w:eastAsia="Calibri" w:hAnsi="Gill Sans MT" w:cs="Times New Roman"/>
          <w:szCs w:val="24"/>
        </w:rPr>
        <w:t xml:space="preserve"> regarding the exceedance and appropriate responses. </w:t>
      </w:r>
    </w:p>
    <w:p w:rsidR="00015D77" w:rsidRPr="00C11367" w:rsidRDefault="00015D77" w:rsidP="00015D77">
      <w:pPr>
        <w:widowControl w:val="0"/>
        <w:autoSpaceDE w:val="0"/>
        <w:autoSpaceDN w:val="0"/>
        <w:adjustRightInd w:val="0"/>
        <w:spacing w:after="120" w:line="240" w:lineRule="auto"/>
        <w:ind w:right="389"/>
        <w:rPr>
          <w:rFonts w:ascii="Gill Sans MT" w:eastAsia="Calibri" w:hAnsi="Gill Sans MT" w:cs="Times New Roman"/>
          <w:szCs w:val="24"/>
        </w:rPr>
      </w:pPr>
      <w:r w:rsidRPr="00C11367">
        <w:rPr>
          <w:rFonts w:ascii="Gill Sans MT" w:eastAsia="Calibri" w:hAnsi="Gill Sans MT" w:cs="Times New Roman"/>
          <w:szCs w:val="24"/>
        </w:rPr>
        <w:t>In general, the implementing partner will collect sufficient information to answer the following questions:</w:t>
      </w:r>
    </w:p>
    <w:p w:rsidR="00015D77" w:rsidRPr="00C11367" w:rsidRDefault="00015D77" w:rsidP="00015D77">
      <w:pPr>
        <w:keepNext/>
        <w:keepLines/>
        <w:widowControl w:val="0"/>
        <w:numPr>
          <w:ilvl w:val="0"/>
          <w:numId w:val="1"/>
        </w:numPr>
        <w:autoSpaceDE w:val="0"/>
        <w:autoSpaceDN w:val="0"/>
        <w:adjustRightInd w:val="0"/>
        <w:spacing w:after="120" w:line="240" w:lineRule="auto"/>
        <w:ind w:right="389"/>
        <w:contextualSpacing/>
        <w:rPr>
          <w:rFonts w:ascii="Gill Sans MT" w:eastAsia="Calibri" w:hAnsi="Gill Sans MT" w:cs="Times New Roman"/>
          <w:szCs w:val="20"/>
        </w:rPr>
      </w:pPr>
      <w:r w:rsidRPr="00C11367">
        <w:rPr>
          <w:rFonts w:ascii="Gill Sans MT" w:eastAsia="Calibri" w:hAnsi="Gill Sans MT" w:cs="Times New Roman"/>
          <w:szCs w:val="20"/>
        </w:rPr>
        <w:t>Are the data valid/accurate?</w:t>
      </w:r>
    </w:p>
    <w:p w:rsidR="00015D77" w:rsidRPr="00C11367" w:rsidRDefault="00015D77" w:rsidP="00015D77">
      <w:pPr>
        <w:widowControl w:val="0"/>
        <w:autoSpaceDE w:val="0"/>
        <w:autoSpaceDN w:val="0"/>
        <w:adjustRightInd w:val="0"/>
        <w:spacing w:after="120" w:line="240" w:lineRule="auto"/>
        <w:ind w:left="360" w:right="389"/>
        <w:rPr>
          <w:rFonts w:ascii="Gill Sans MT" w:eastAsia="Calibri" w:hAnsi="Gill Sans MT" w:cs="Times New Roman"/>
          <w:i/>
          <w:szCs w:val="24"/>
        </w:rPr>
      </w:pPr>
      <w:r w:rsidRPr="00C11367">
        <w:rPr>
          <w:rFonts w:ascii="Gill Sans MT" w:eastAsia="Calibri" w:hAnsi="Gill Sans MT" w:cs="Times New Roman"/>
          <w:i/>
          <w:szCs w:val="24"/>
        </w:rPr>
        <w:t xml:space="preserve">Water quality samples are easily contaminated if not properly collected, stored, or transported. Results can be invalid if the samples have been compromised. Additionally, it is important to ensure that no administrative or clerical errors have occurred. </w:t>
      </w:r>
    </w:p>
    <w:p w:rsidR="00015D77" w:rsidRPr="00C11367" w:rsidRDefault="00015D77" w:rsidP="00015D77">
      <w:pPr>
        <w:keepNext/>
        <w:keepLines/>
        <w:widowControl w:val="0"/>
        <w:numPr>
          <w:ilvl w:val="0"/>
          <w:numId w:val="1"/>
        </w:numPr>
        <w:autoSpaceDE w:val="0"/>
        <w:autoSpaceDN w:val="0"/>
        <w:adjustRightInd w:val="0"/>
        <w:spacing w:after="120" w:line="240" w:lineRule="auto"/>
        <w:ind w:right="389"/>
        <w:contextualSpacing/>
        <w:rPr>
          <w:rFonts w:ascii="Gill Sans MT" w:eastAsia="Calibri" w:hAnsi="Gill Sans MT" w:cs="Times New Roman"/>
          <w:szCs w:val="20"/>
        </w:rPr>
      </w:pPr>
      <w:r w:rsidRPr="00C11367">
        <w:rPr>
          <w:rFonts w:ascii="Gill Sans MT" w:eastAsia="Calibri" w:hAnsi="Gill Sans MT" w:cs="Times New Roman"/>
          <w:szCs w:val="20"/>
        </w:rPr>
        <w:t>Has the source of the contamination been identified?</w:t>
      </w:r>
    </w:p>
    <w:p w:rsidR="00015D77" w:rsidRPr="00C11367" w:rsidRDefault="00015D77" w:rsidP="00015D77">
      <w:pPr>
        <w:widowControl w:val="0"/>
        <w:autoSpaceDE w:val="0"/>
        <w:autoSpaceDN w:val="0"/>
        <w:adjustRightInd w:val="0"/>
        <w:spacing w:after="120" w:line="240" w:lineRule="auto"/>
        <w:ind w:left="360" w:right="389"/>
        <w:rPr>
          <w:rFonts w:ascii="Gill Sans MT" w:eastAsia="Calibri" w:hAnsi="Gill Sans MT" w:cs="Times New Roman"/>
          <w:i/>
          <w:szCs w:val="24"/>
        </w:rPr>
      </w:pPr>
      <w:r w:rsidRPr="00C11367">
        <w:rPr>
          <w:rFonts w:ascii="Gill Sans MT" w:eastAsia="Calibri" w:hAnsi="Gill Sans MT" w:cs="Times New Roman"/>
          <w:i/>
          <w:szCs w:val="24"/>
        </w:rPr>
        <w:t>Source identification usually starts with an observational sanitary survey of the drinking water supply and could involve further environmental or hydrogeological studies.</w:t>
      </w:r>
    </w:p>
    <w:p w:rsidR="00015D77" w:rsidRPr="00C11367" w:rsidRDefault="00015D77" w:rsidP="00015D77">
      <w:pPr>
        <w:keepNext/>
        <w:keepLines/>
        <w:widowControl w:val="0"/>
        <w:numPr>
          <w:ilvl w:val="0"/>
          <w:numId w:val="1"/>
        </w:numPr>
        <w:autoSpaceDE w:val="0"/>
        <w:autoSpaceDN w:val="0"/>
        <w:adjustRightInd w:val="0"/>
        <w:spacing w:after="120" w:line="240" w:lineRule="auto"/>
        <w:ind w:right="389"/>
        <w:contextualSpacing/>
        <w:rPr>
          <w:rFonts w:ascii="Gill Sans MT" w:eastAsia="Calibri" w:hAnsi="Gill Sans MT" w:cs="Times New Roman"/>
          <w:szCs w:val="20"/>
        </w:rPr>
      </w:pPr>
      <w:r w:rsidRPr="00C11367">
        <w:rPr>
          <w:rFonts w:ascii="Gill Sans MT" w:eastAsia="Calibri" w:hAnsi="Gill Sans MT" w:cs="Times New Roman"/>
          <w:szCs w:val="20"/>
        </w:rPr>
        <w:t>Did the community provide feedback on the contamination?</w:t>
      </w:r>
    </w:p>
    <w:p w:rsidR="00015D77" w:rsidRPr="00C11367" w:rsidRDefault="00015D77" w:rsidP="00015D77">
      <w:pPr>
        <w:widowControl w:val="0"/>
        <w:autoSpaceDE w:val="0"/>
        <w:autoSpaceDN w:val="0"/>
        <w:adjustRightInd w:val="0"/>
        <w:spacing w:after="120" w:line="240" w:lineRule="auto"/>
        <w:ind w:left="360" w:right="389"/>
        <w:rPr>
          <w:rFonts w:ascii="Gill Sans MT" w:eastAsia="Calibri" w:hAnsi="Gill Sans MT" w:cs="Times New Roman"/>
          <w:i/>
          <w:szCs w:val="24"/>
        </w:rPr>
      </w:pPr>
      <w:r w:rsidRPr="00C11367">
        <w:rPr>
          <w:rFonts w:ascii="Gill Sans MT" w:eastAsia="Calibri" w:hAnsi="Gill Sans MT" w:cs="Times New Roman"/>
          <w:i/>
          <w:szCs w:val="24"/>
        </w:rPr>
        <w:t>When identifying the source of contamination and appropriate solutions for resolution, local community feedback can provide vital information on how the contamination occurred and what methods they are capable of taking to resolve and protect the source.</w:t>
      </w:r>
    </w:p>
    <w:p w:rsidR="00015D77" w:rsidRPr="00C11367" w:rsidRDefault="00015D77" w:rsidP="00015D77">
      <w:pPr>
        <w:keepNext/>
        <w:keepLines/>
        <w:widowControl w:val="0"/>
        <w:numPr>
          <w:ilvl w:val="0"/>
          <w:numId w:val="1"/>
        </w:numPr>
        <w:autoSpaceDE w:val="0"/>
        <w:autoSpaceDN w:val="0"/>
        <w:adjustRightInd w:val="0"/>
        <w:spacing w:after="120" w:line="240" w:lineRule="auto"/>
        <w:ind w:right="389"/>
        <w:contextualSpacing/>
        <w:rPr>
          <w:rFonts w:ascii="Gill Sans MT" w:eastAsia="Calibri" w:hAnsi="Gill Sans MT" w:cs="Times New Roman"/>
          <w:szCs w:val="20"/>
        </w:rPr>
      </w:pPr>
      <w:r w:rsidRPr="00C11367">
        <w:rPr>
          <w:rFonts w:ascii="Gill Sans MT" w:eastAsia="Calibri" w:hAnsi="Gill Sans MT" w:cs="Times New Roman"/>
          <w:szCs w:val="20"/>
        </w:rPr>
        <w:t>Can the contaminant be physically removed from the drinking water source?</w:t>
      </w:r>
    </w:p>
    <w:p w:rsidR="00015D77" w:rsidRPr="00C11367" w:rsidRDefault="00015D77" w:rsidP="00015D77">
      <w:pPr>
        <w:widowControl w:val="0"/>
        <w:autoSpaceDE w:val="0"/>
        <w:autoSpaceDN w:val="0"/>
        <w:adjustRightInd w:val="0"/>
        <w:spacing w:after="120" w:line="240" w:lineRule="auto"/>
        <w:ind w:left="360" w:right="389"/>
        <w:rPr>
          <w:rFonts w:ascii="Gill Sans MT" w:eastAsia="Calibri" w:hAnsi="Gill Sans MT" w:cs="Times New Roman"/>
          <w:i/>
          <w:szCs w:val="24"/>
        </w:rPr>
      </w:pPr>
      <w:r w:rsidRPr="00C11367">
        <w:rPr>
          <w:rFonts w:ascii="Gill Sans MT" w:eastAsia="Calibri" w:hAnsi="Gill Sans MT" w:cs="Times New Roman"/>
          <w:i/>
          <w:szCs w:val="24"/>
        </w:rPr>
        <w:t>Physical removal of the contaminant from the water source through either source protection or treatment is the primary treatment step that should be considered. Treatment options may include, but are not limited to, sedimentation, filtration, coagulation and flocculation, and settlement. Solutions that are practical at the household level, so called point-of-use treatment, should</w:t>
      </w:r>
      <w:r w:rsidR="00217BC4">
        <w:rPr>
          <w:rFonts w:ascii="Gill Sans MT" w:eastAsia="Calibri" w:hAnsi="Gill Sans MT" w:cs="Times New Roman"/>
          <w:i/>
          <w:szCs w:val="24"/>
        </w:rPr>
        <w:t xml:space="preserve"> </w:t>
      </w:r>
      <w:bookmarkStart w:id="2" w:name="_GoBack"/>
      <w:bookmarkEnd w:id="2"/>
      <w:r w:rsidR="00217BC4">
        <w:rPr>
          <w:rFonts w:ascii="Gill Sans MT" w:eastAsia="Calibri" w:hAnsi="Gill Sans MT" w:cs="Times New Roman"/>
          <w:i/>
          <w:szCs w:val="24"/>
        </w:rPr>
        <w:t>also</w:t>
      </w:r>
      <w:r w:rsidRPr="00C11367">
        <w:rPr>
          <w:rFonts w:ascii="Gill Sans MT" w:eastAsia="Calibri" w:hAnsi="Gill Sans MT" w:cs="Times New Roman"/>
          <w:i/>
          <w:szCs w:val="24"/>
        </w:rPr>
        <w:t xml:space="preserve"> be considered.</w:t>
      </w:r>
    </w:p>
    <w:p w:rsidR="00015D77" w:rsidRPr="00C11367" w:rsidRDefault="00015D77" w:rsidP="00015D77">
      <w:pPr>
        <w:keepNext/>
        <w:keepLines/>
        <w:widowControl w:val="0"/>
        <w:numPr>
          <w:ilvl w:val="0"/>
          <w:numId w:val="1"/>
        </w:numPr>
        <w:autoSpaceDE w:val="0"/>
        <w:autoSpaceDN w:val="0"/>
        <w:adjustRightInd w:val="0"/>
        <w:spacing w:after="120" w:line="240" w:lineRule="auto"/>
        <w:ind w:right="389"/>
        <w:contextualSpacing/>
        <w:rPr>
          <w:rFonts w:ascii="Gill Sans MT" w:eastAsia="Calibri" w:hAnsi="Gill Sans MT" w:cs="Times New Roman"/>
          <w:szCs w:val="20"/>
        </w:rPr>
      </w:pPr>
      <w:r w:rsidRPr="00C11367">
        <w:rPr>
          <w:rFonts w:ascii="Gill Sans MT" w:eastAsia="Calibri" w:hAnsi="Gill Sans MT" w:cs="Times New Roman"/>
          <w:szCs w:val="20"/>
        </w:rPr>
        <w:t>Can the contaminant be chemically treated?</w:t>
      </w:r>
    </w:p>
    <w:p w:rsidR="00015D77" w:rsidRPr="00C11367" w:rsidRDefault="00015D77" w:rsidP="00015D77">
      <w:pPr>
        <w:widowControl w:val="0"/>
        <w:autoSpaceDE w:val="0"/>
        <w:autoSpaceDN w:val="0"/>
        <w:adjustRightInd w:val="0"/>
        <w:spacing w:after="120" w:line="240" w:lineRule="auto"/>
        <w:ind w:left="360" w:right="389"/>
        <w:rPr>
          <w:rFonts w:ascii="Gill Sans MT" w:eastAsia="Calibri" w:hAnsi="Gill Sans MT" w:cs="Times New Roman"/>
          <w:i/>
          <w:szCs w:val="24"/>
        </w:rPr>
      </w:pPr>
      <w:r w:rsidRPr="00C11367">
        <w:rPr>
          <w:rFonts w:ascii="Gill Sans MT" w:eastAsia="Calibri" w:hAnsi="Gill Sans MT" w:cs="Times New Roman"/>
          <w:i/>
          <w:szCs w:val="24"/>
        </w:rPr>
        <w:t>The second option for resolution if physical removal is not possible is chemical treatment. This could include, but is not limited to, chlorination, disinfection (chemical or mechanical/UV), conditioning, or other chemical treatment options. Chemical treatment options that are practical for use in the household should be considered.</w:t>
      </w:r>
    </w:p>
    <w:p w:rsidR="00015D77" w:rsidRPr="00C11367" w:rsidRDefault="00015D77" w:rsidP="00015D77">
      <w:pPr>
        <w:keepNext/>
        <w:keepLines/>
        <w:widowControl w:val="0"/>
        <w:numPr>
          <w:ilvl w:val="0"/>
          <w:numId w:val="1"/>
        </w:numPr>
        <w:autoSpaceDE w:val="0"/>
        <w:autoSpaceDN w:val="0"/>
        <w:adjustRightInd w:val="0"/>
        <w:spacing w:after="120" w:line="240" w:lineRule="auto"/>
        <w:ind w:right="389"/>
        <w:contextualSpacing/>
        <w:rPr>
          <w:rFonts w:ascii="Gill Sans MT" w:eastAsia="Calibri" w:hAnsi="Gill Sans MT" w:cs="Times New Roman"/>
          <w:szCs w:val="20"/>
        </w:rPr>
      </w:pPr>
      <w:r w:rsidRPr="00C11367">
        <w:rPr>
          <w:rFonts w:ascii="Gill Sans MT" w:eastAsia="Calibri" w:hAnsi="Gill Sans MT" w:cs="Times New Roman"/>
          <w:szCs w:val="20"/>
        </w:rPr>
        <w:t>Did the host country source management authority provide feedback on the contamination?</w:t>
      </w:r>
    </w:p>
    <w:p w:rsidR="00015D77" w:rsidRPr="00C11367" w:rsidRDefault="00015D77" w:rsidP="00015D77">
      <w:pPr>
        <w:widowControl w:val="0"/>
        <w:autoSpaceDE w:val="0"/>
        <w:autoSpaceDN w:val="0"/>
        <w:adjustRightInd w:val="0"/>
        <w:spacing w:after="120" w:line="240" w:lineRule="auto"/>
        <w:ind w:left="360" w:right="389"/>
        <w:rPr>
          <w:rFonts w:ascii="Gill Sans MT" w:eastAsia="Calibri" w:hAnsi="Gill Sans MT" w:cs="Times New Roman"/>
          <w:i/>
          <w:szCs w:val="24"/>
        </w:rPr>
      </w:pPr>
      <w:r w:rsidRPr="00C11367">
        <w:rPr>
          <w:rFonts w:ascii="Gill Sans MT" w:eastAsia="Calibri" w:hAnsi="Gill Sans MT" w:cs="Times New Roman"/>
          <w:i/>
          <w:szCs w:val="24"/>
        </w:rPr>
        <w:t>The host country authority for protection and enforcement must be included in the resolution of any contamination. Because they have the responsibility and directive for ensuring safe drinking water to their constituents, it is important to obtain their input into the process, to educate and prepare against future contamination as well as to build capacity for drinking water protection.</w:t>
      </w:r>
    </w:p>
    <w:p w:rsidR="003472CF" w:rsidRDefault="00015D77" w:rsidP="00E85AFE">
      <w:pPr>
        <w:widowControl w:val="0"/>
        <w:autoSpaceDE w:val="0"/>
        <w:autoSpaceDN w:val="0"/>
        <w:adjustRightInd w:val="0"/>
        <w:spacing w:after="120" w:line="240" w:lineRule="auto"/>
        <w:ind w:right="389"/>
      </w:pPr>
      <w:r w:rsidRPr="00C11367">
        <w:rPr>
          <w:rFonts w:ascii="Gill Sans MT" w:eastAsia="Calibri" w:hAnsi="Gill Sans MT" w:cs="Times New Roman"/>
          <w:szCs w:val="24"/>
        </w:rPr>
        <w:t>Upon completion of the data gathering and compilation, knowledgeable water quality technical specialists, including USAID staff, must be consulted.</w:t>
      </w:r>
    </w:p>
    <w:sectPr w:rsidR="00347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C5" w:rsidRDefault="00DE58C5" w:rsidP="00015D77">
      <w:pPr>
        <w:spacing w:after="0" w:line="240" w:lineRule="auto"/>
      </w:pPr>
      <w:r>
        <w:separator/>
      </w:r>
    </w:p>
  </w:endnote>
  <w:endnote w:type="continuationSeparator" w:id="0">
    <w:p w:rsidR="00DE58C5" w:rsidRDefault="00DE58C5" w:rsidP="0001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C5" w:rsidRDefault="00DE58C5" w:rsidP="00015D77">
      <w:pPr>
        <w:spacing w:after="0" w:line="240" w:lineRule="auto"/>
      </w:pPr>
      <w:r>
        <w:separator/>
      </w:r>
    </w:p>
  </w:footnote>
  <w:footnote w:type="continuationSeparator" w:id="0">
    <w:p w:rsidR="00DE58C5" w:rsidRDefault="00DE58C5" w:rsidP="0001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18AA"/>
    <w:multiLevelType w:val="hybridMultilevel"/>
    <w:tmpl w:val="B9DE1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80A05"/>
    <w:multiLevelType w:val="hybridMultilevel"/>
    <w:tmpl w:val="FFB2F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77"/>
    <w:rsid w:val="00015D77"/>
    <w:rsid w:val="00217BC4"/>
    <w:rsid w:val="003472CF"/>
    <w:rsid w:val="00713305"/>
    <w:rsid w:val="00B90856"/>
    <w:rsid w:val="00C0425B"/>
    <w:rsid w:val="00DE58C5"/>
    <w:rsid w:val="00E85AFE"/>
    <w:rsid w:val="00ED3A8E"/>
    <w:rsid w:val="00F5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D77"/>
    <w:rPr>
      <w:sz w:val="20"/>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015D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D77"/>
    <w:rPr>
      <w:sz w:val="20"/>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015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6e267d371c80266c0ad1a878136098cb">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2b41932fbaac65046c39e95a65c45a18"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QAP" ma:internalName="PhaseName">
      <xsd:simpleType>
        <xsd:restriction base="dms:Text">
          <xsd:maxLength value="255"/>
        </xsd:restriction>
      </xsd:simpleType>
    </xsd:element>
    <xsd:element name="ProjectName" ma:index="2" nillable="true" ma:displayName="Project Name" ma:default="GEMS2"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8a4384f-b6a8-4a07-bf84-ab91bbca8b30}" ma:internalName="TaxCatchAll" ma:showField="CatchAllData"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8a4384f-b6a8-4a07-bf84-ab91bbca8b30}" ma:internalName="TaxCatchAllLabel" ma:readOnly="true" ma:showField="CatchAllDataLabel"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WQAP</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DocumentSetDescription xmlns="http://schemas.microsoft.com/sharepoint/v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GEMS2</ProjectName>
  </documentManagement>
</p:properties>
</file>

<file path=customXml/itemProps1.xml><?xml version="1.0" encoding="utf-8"?>
<ds:datastoreItem xmlns:ds="http://schemas.openxmlformats.org/officeDocument/2006/customXml" ds:itemID="{4A4D7FD0-966F-4BF1-87F5-B4143BD09456}">
  <ds:schemaRefs>
    <ds:schemaRef ds:uri="http://schemas.microsoft.com/sharepoint/v3/contenttype/forms"/>
  </ds:schemaRefs>
</ds:datastoreItem>
</file>

<file path=customXml/itemProps2.xml><?xml version="1.0" encoding="utf-8"?>
<ds:datastoreItem xmlns:ds="http://schemas.openxmlformats.org/officeDocument/2006/customXml" ds:itemID="{73F91EF2-C93A-418F-8C81-57383883054C}">
  <ds:schemaRefs>
    <ds:schemaRef ds:uri="Microsoft.SharePoint.Taxonomy.ContentTypeSync"/>
  </ds:schemaRefs>
</ds:datastoreItem>
</file>

<file path=customXml/itemProps3.xml><?xml version="1.0" encoding="utf-8"?>
<ds:datastoreItem xmlns:ds="http://schemas.openxmlformats.org/officeDocument/2006/customXml" ds:itemID="{91E5FFBC-2965-4BF8-B66F-A9EBE2B01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8078C-D0AD-48B6-AAE2-A527EE2D6F77}">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dc75c247-7f53-4913-864a-4160aff1c458"/>
    <ds:schemaRef ds:uri="http://www.w3.org/XML/1998/namespace"/>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Jolley</dc:creator>
  <cp:lastModifiedBy>USAID</cp:lastModifiedBy>
  <cp:revision>4</cp:revision>
  <cp:lastPrinted>2018-04-23T21:05:00Z</cp:lastPrinted>
  <dcterms:created xsi:type="dcterms:W3CDTF">2018-04-23T13:30:00Z</dcterms:created>
  <dcterms:modified xsi:type="dcterms:W3CDTF">2018-05-11T13:56:00Z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ies>
</file>